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176" w:type="dxa"/>
        <w:tblLayout w:type="fixed"/>
        <w:tblLook w:val="0000"/>
      </w:tblPr>
      <w:tblGrid>
        <w:gridCol w:w="3686"/>
        <w:gridCol w:w="5954"/>
      </w:tblGrid>
      <w:tr w:rsidR="008C5A01" w:rsidRPr="00FE08CA" w:rsidTr="00262C65">
        <w:trPr>
          <w:trHeight w:val="321"/>
        </w:trPr>
        <w:tc>
          <w:tcPr>
            <w:tcW w:w="9640" w:type="dxa"/>
            <w:gridSpan w:val="2"/>
            <w:shd w:val="clear" w:color="auto" w:fill="auto"/>
          </w:tcPr>
          <w:p w:rsidR="008C5A01" w:rsidRPr="00FE08CA" w:rsidRDefault="008C5A01" w:rsidP="00262C65">
            <w:pPr>
              <w:jc w:val="right"/>
              <w:rPr>
                <w:rFonts w:cs="Times New Roman"/>
                <w:b/>
                <w:i/>
                <w:lang w:val="uk-UA"/>
              </w:rPr>
            </w:pPr>
            <w:r w:rsidRPr="00FE08CA">
              <w:rPr>
                <w:rFonts w:cs="Times New Roman"/>
                <w:b/>
                <w:i/>
                <w:lang w:val="uk-UA"/>
              </w:rPr>
              <w:t xml:space="preserve">Додаток 7 </w:t>
            </w:r>
          </w:p>
          <w:p w:rsidR="008C5A01" w:rsidRPr="00FE08CA" w:rsidRDefault="008C5A01" w:rsidP="00262C65">
            <w:pPr>
              <w:jc w:val="right"/>
              <w:rPr>
                <w:rFonts w:cs="Times New Roman"/>
                <w:i/>
                <w:lang w:val="uk-UA"/>
              </w:rPr>
            </w:pPr>
            <w:r w:rsidRPr="00FE08CA">
              <w:rPr>
                <w:rFonts w:cs="Times New Roman"/>
                <w:i/>
                <w:lang w:val="uk-UA"/>
              </w:rPr>
              <w:t>до тендерної документації</w:t>
            </w:r>
          </w:p>
        </w:tc>
      </w:tr>
      <w:tr w:rsidR="008C5A01" w:rsidRPr="00B4475B" w:rsidTr="00262C65">
        <w:trPr>
          <w:trHeight w:val="321"/>
        </w:trPr>
        <w:tc>
          <w:tcPr>
            <w:tcW w:w="9640" w:type="dxa"/>
            <w:gridSpan w:val="2"/>
            <w:tcBorders>
              <w:bottom w:val="single" w:sz="4" w:space="0" w:color="000000"/>
            </w:tcBorders>
            <w:shd w:val="clear" w:color="auto" w:fill="auto"/>
          </w:tcPr>
          <w:p w:rsidR="008C5A01" w:rsidRPr="00FE08CA" w:rsidRDefault="008C5A01" w:rsidP="00262C65">
            <w:pPr>
              <w:jc w:val="center"/>
              <w:rPr>
                <w:rFonts w:cs="Times New Roman"/>
                <w:b/>
                <w:lang w:val="uk-UA"/>
              </w:rPr>
            </w:pPr>
          </w:p>
          <w:p w:rsidR="008C5A01" w:rsidRPr="00FE08CA" w:rsidRDefault="008C5A01" w:rsidP="00262C65">
            <w:pPr>
              <w:jc w:val="center"/>
              <w:rPr>
                <w:rFonts w:cs="Times New Roman"/>
                <w:b/>
                <w:lang w:val="uk-UA"/>
              </w:rPr>
            </w:pPr>
            <w:r w:rsidRPr="00FE08CA">
              <w:rPr>
                <w:rFonts w:cs="Times New Roman"/>
                <w:b/>
                <w:lang w:val="uk-UA"/>
              </w:rPr>
              <w:t>Перелік документів, які мають бути надані учасником у складі тендерної пропозиції</w:t>
            </w:r>
          </w:p>
        </w:tc>
      </w:tr>
      <w:tr w:rsidR="008C5A01" w:rsidRPr="00FE08CA" w:rsidTr="00262C65">
        <w:tblPrEx>
          <w:tblCellMar>
            <w:left w:w="0" w:type="dxa"/>
            <w:right w:w="0" w:type="dxa"/>
          </w:tblCellMar>
        </w:tblPrEx>
        <w:trPr>
          <w:trHeight w:val="2717"/>
        </w:trPr>
        <w:tc>
          <w:tcPr>
            <w:tcW w:w="3686" w:type="dxa"/>
            <w:tcBorders>
              <w:top w:val="single" w:sz="4" w:space="0" w:color="000000"/>
              <w:left w:val="single" w:sz="4" w:space="0" w:color="000000"/>
              <w:bottom w:val="single" w:sz="4" w:space="0" w:color="000000"/>
            </w:tcBorders>
            <w:shd w:val="clear" w:color="auto" w:fill="auto"/>
          </w:tcPr>
          <w:p w:rsidR="008C5A01" w:rsidRPr="00FE08CA" w:rsidRDefault="008C5A01" w:rsidP="008C5A01">
            <w:pPr>
              <w:widowControl/>
              <w:numPr>
                <w:ilvl w:val="0"/>
                <w:numId w:val="1"/>
              </w:numPr>
              <w:suppressAutoHyphens w:val="0"/>
              <w:spacing w:after="200" w:line="276" w:lineRule="auto"/>
              <w:rPr>
                <w:rFonts w:cs="Times New Roman"/>
                <w:lang w:val="uk-UA"/>
              </w:rPr>
            </w:pPr>
            <w:r w:rsidRPr="00FE08CA">
              <w:rPr>
                <w:rFonts w:cs="Times New Roman"/>
                <w:lang w:val="uk-UA"/>
              </w:rPr>
              <w:t>Тендерна пропозиція (цінова)/ комерційна частина тендерної пропозиції.</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8C5A01" w:rsidRPr="00FE08CA" w:rsidRDefault="008C5A01" w:rsidP="00262C65">
            <w:pPr>
              <w:ind w:right="142"/>
              <w:jc w:val="both"/>
              <w:rPr>
                <w:rFonts w:cs="Times New Roman"/>
                <w:lang w:val="uk-UA"/>
              </w:rPr>
            </w:pPr>
            <w:r w:rsidRPr="00FE08CA">
              <w:rPr>
                <w:rFonts w:cs="Times New Roman"/>
                <w:lang w:val="uk-UA"/>
              </w:rPr>
              <w:t xml:space="preserve">Тендерна пропозиція (цінова)/комерційна частина тендерної пропозиції, яка за правилами електронного майданчика автоматично розкривається після завершення аукціону. </w:t>
            </w:r>
          </w:p>
          <w:p w:rsidR="008C5A01" w:rsidRPr="00FE08CA" w:rsidRDefault="008C5A01" w:rsidP="00262C65">
            <w:pPr>
              <w:ind w:right="142"/>
              <w:jc w:val="both"/>
              <w:rPr>
                <w:rFonts w:cs="Times New Roman"/>
                <w:lang w:val="uk-UA"/>
              </w:rPr>
            </w:pPr>
            <w:r w:rsidRPr="00FE08CA">
              <w:rPr>
                <w:rFonts w:cs="Times New Roman"/>
                <w:lang w:val="uk-UA"/>
              </w:rPr>
              <w:t>Або</w:t>
            </w:r>
          </w:p>
          <w:p w:rsidR="008C5A01" w:rsidRPr="00FE08CA" w:rsidRDefault="008C5A01" w:rsidP="00262C65">
            <w:pPr>
              <w:ind w:right="142"/>
              <w:jc w:val="both"/>
              <w:rPr>
                <w:rFonts w:cs="Times New Roman"/>
                <w:lang w:val="uk-UA"/>
              </w:rPr>
            </w:pPr>
            <w:r w:rsidRPr="00FE08CA">
              <w:rPr>
                <w:rFonts w:cs="Times New Roman"/>
                <w:lang w:val="uk-UA"/>
              </w:rPr>
              <w:t xml:space="preserve">Документ за формою Додатка 1 до цієї тендерної документації за підписом керівника або уповноваженої особи Учасника та скріплений печаткою (у разі її використання) подається окремим файлом. </w:t>
            </w:r>
          </w:p>
        </w:tc>
      </w:tr>
      <w:tr w:rsidR="008C5A01" w:rsidRPr="00B4475B" w:rsidTr="00262C65">
        <w:tblPrEx>
          <w:tblCellMar>
            <w:left w:w="0" w:type="dxa"/>
            <w:right w:w="0" w:type="dxa"/>
          </w:tblCellMar>
        </w:tblPrEx>
        <w:trPr>
          <w:trHeight w:val="622"/>
        </w:trPr>
        <w:tc>
          <w:tcPr>
            <w:tcW w:w="3686" w:type="dxa"/>
            <w:tcBorders>
              <w:top w:val="single" w:sz="4" w:space="0" w:color="auto"/>
              <w:left w:val="single" w:sz="4" w:space="0" w:color="000000"/>
              <w:bottom w:val="single" w:sz="4" w:space="0" w:color="auto"/>
            </w:tcBorders>
            <w:shd w:val="clear" w:color="auto" w:fill="auto"/>
          </w:tcPr>
          <w:p w:rsidR="008C5A01" w:rsidRPr="00FE08CA" w:rsidRDefault="008C5A01" w:rsidP="00262C65">
            <w:pPr>
              <w:ind w:left="142"/>
              <w:rPr>
                <w:rFonts w:cs="Times New Roman"/>
                <w:lang w:val="uk-UA"/>
              </w:rPr>
            </w:pPr>
            <w:r w:rsidRPr="00FE08CA">
              <w:rPr>
                <w:rFonts w:cs="Times New Roman"/>
                <w:lang w:val="uk-UA"/>
              </w:rPr>
              <w:t>2. Документи, що підтверджують відповідність учасника встановленому (</w:t>
            </w:r>
            <w:proofErr w:type="spellStart"/>
            <w:r w:rsidRPr="00FE08CA">
              <w:rPr>
                <w:rFonts w:cs="Times New Roman"/>
                <w:lang w:val="uk-UA"/>
              </w:rPr>
              <w:t>-им</w:t>
            </w:r>
            <w:proofErr w:type="spellEnd"/>
            <w:r w:rsidRPr="00FE08CA">
              <w:rPr>
                <w:rFonts w:cs="Times New Roman"/>
                <w:lang w:val="uk-UA"/>
              </w:rPr>
              <w:t>) кваліфікаційному (</w:t>
            </w:r>
            <w:proofErr w:type="spellStart"/>
            <w:r w:rsidRPr="00FE08CA">
              <w:rPr>
                <w:rFonts w:cs="Times New Roman"/>
                <w:lang w:val="uk-UA"/>
              </w:rPr>
              <w:t>-им</w:t>
            </w:r>
            <w:proofErr w:type="spellEnd"/>
            <w:r w:rsidRPr="00FE08CA">
              <w:rPr>
                <w:rFonts w:cs="Times New Roman"/>
                <w:lang w:val="uk-UA"/>
              </w:rPr>
              <w:t>) критерію (</w:t>
            </w:r>
            <w:proofErr w:type="spellStart"/>
            <w:r w:rsidRPr="00FE08CA">
              <w:rPr>
                <w:rFonts w:cs="Times New Roman"/>
                <w:lang w:val="uk-UA"/>
              </w:rPr>
              <w:t>-ям</w:t>
            </w:r>
            <w:proofErr w:type="spellEnd"/>
            <w:r w:rsidRPr="00FE08CA">
              <w:rPr>
                <w:rFonts w:cs="Times New Roman"/>
                <w:lang w:val="uk-UA"/>
              </w:rPr>
              <w:t>):</w:t>
            </w:r>
          </w:p>
          <w:p w:rsidR="008C5A01" w:rsidRPr="00FE08CA" w:rsidRDefault="008C5A01" w:rsidP="00262C65">
            <w:pPr>
              <w:ind w:left="142"/>
              <w:rPr>
                <w:rFonts w:cs="Times New Roman"/>
                <w:lang w:val="uk-UA"/>
              </w:rPr>
            </w:pPr>
            <w:r w:rsidRPr="00FE08CA">
              <w:rPr>
                <w:rFonts w:cs="Times New Roman"/>
                <w:lang w:val="uk-UA"/>
              </w:rPr>
              <w:t>-  про наявність в учасника процедури закупівлі працівників відповідної кваліфікації, які мають необхідні знання та досвід;</w:t>
            </w:r>
          </w:p>
          <w:p w:rsidR="008C5A01" w:rsidRPr="00FE08CA" w:rsidRDefault="008C5A01" w:rsidP="00262C65">
            <w:pPr>
              <w:ind w:left="142"/>
              <w:rPr>
                <w:rFonts w:cs="Times New Roman"/>
                <w:lang w:val="ru-RU"/>
              </w:rPr>
            </w:pPr>
            <w:r w:rsidRPr="00FE08CA">
              <w:rPr>
                <w:rFonts w:cs="Times New Roman"/>
                <w:lang w:val="uk-UA"/>
              </w:rPr>
              <w:t>- про наявність документально підтвердженого досвіду виконання аналогічного (</w:t>
            </w:r>
            <w:proofErr w:type="spellStart"/>
            <w:r w:rsidRPr="00FE08CA">
              <w:rPr>
                <w:rFonts w:cs="Times New Roman"/>
                <w:lang w:val="uk-UA"/>
              </w:rPr>
              <w:t>-их</w:t>
            </w:r>
            <w:proofErr w:type="spellEnd"/>
            <w:r w:rsidRPr="00FE08CA">
              <w:rPr>
                <w:rFonts w:cs="Times New Roman"/>
                <w:lang w:val="uk-UA"/>
              </w:rPr>
              <w:t>) за предметом закупівлі договору (</w:t>
            </w:r>
            <w:proofErr w:type="spellStart"/>
            <w:r w:rsidRPr="00FE08CA">
              <w:rPr>
                <w:rFonts w:cs="Times New Roman"/>
                <w:lang w:val="uk-UA"/>
              </w:rPr>
              <w:t>-ів</w:t>
            </w:r>
            <w:proofErr w:type="spellEnd"/>
            <w:r w:rsidRPr="00FE08CA">
              <w:rPr>
                <w:rFonts w:cs="Times New Roman"/>
                <w:lang w:val="uk-UA"/>
              </w:rPr>
              <w:t>)</w:t>
            </w:r>
            <w:r w:rsidRPr="00FE08CA">
              <w:rPr>
                <w:rFonts w:cs="Times New Roman"/>
                <w:lang w:val="ru-RU"/>
              </w:rPr>
              <w:t>.</w:t>
            </w:r>
          </w:p>
          <w:p w:rsidR="008C5A01" w:rsidRPr="00FE08CA" w:rsidRDefault="008C5A01" w:rsidP="00262C65">
            <w:pPr>
              <w:rPr>
                <w:rFonts w:cs="Times New Roman"/>
                <w:lang w:val="uk-UA"/>
              </w:rPr>
            </w:pPr>
          </w:p>
          <w:p w:rsidR="008C5A01" w:rsidRPr="00FE08CA" w:rsidRDefault="008C5A01" w:rsidP="00262C65">
            <w:pPr>
              <w:rPr>
                <w:rFonts w:cs="Times New Roman"/>
                <w:lang w:val="uk-UA"/>
              </w:rPr>
            </w:pPr>
          </w:p>
        </w:tc>
        <w:tc>
          <w:tcPr>
            <w:tcW w:w="5954" w:type="dxa"/>
            <w:tcBorders>
              <w:top w:val="single" w:sz="4" w:space="0" w:color="auto"/>
              <w:left w:val="single" w:sz="4" w:space="0" w:color="000000"/>
              <w:bottom w:val="single" w:sz="4" w:space="0" w:color="auto"/>
              <w:right w:val="single" w:sz="4" w:space="0" w:color="000000"/>
            </w:tcBorders>
            <w:shd w:val="clear" w:color="auto" w:fill="auto"/>
          </w:tcPr>
          <w:p w:rsidR="008C5A01" w:rsidRPr="00FE08CA" w:rsidRDefault="008C5A01" w:rsidP="00262C65">
            <w:pPr>
              <w:ind w:right="142"/>
              <w:jc w:val="both"/>
              <w:rPr>
                <w:rFonts w:cs="Times New Roman"/>
                <w:bCs/>
                <w:lang w:val="uk-UA"/>
              </w:rPr>
            </w:pPr>
            <w:r w:rsidRPr="00FE08CA">
              <w:rPr>
                <w:rFonts w:cs="Times New Roman"/>
                <w:bCs/>
                <w:lang w:val="uk-UA"/>
              </w:rPr>
              <w:t xml:space="preserve">2.1. Довідка довільної форми про наявність у суб’єкта аудиторської діяльності працівників, з яких за основним місцем роботи працює не менше 5 (п’яти) аудиторів, які залучаються до виконання завдань, із загальною чисельністю штатних кваліфікованих працівників, не менше 10 (десяти) осіб, з яких щонайменше 2 (дві) особи повинні підтвердити кваліфікацію відповідно до </w:t>
            </w:r>
            <w:hyperlink r:id="rId5" w:anchor="n261" w:history="1">
              <w:r w:rsidRPr="00FE08CA">
                <w:rPr>
                  <w:rStyle w:val="a3"/>
                  <w:rFonts w:cs="Times New Roman"/>
                  <w:bCs/>
                  <w:lang w:val="uk-UA"/>
                </w:rPr>
                <w:t>статті 19</w:t>
              </w:r>
            </w:hyperlink>
            <w:r w:rsidRPr="00FE08CA">
              <w:rPr>
                <w:rFonts w:cs="Times New Roman"/>
                <w:bCs/>
                <w:lang w:val="uk-UA"/>
              </w:rPr>
              <w:t xml:space="preserve"> Закону України «Про аудит фінансової звітності та аудиторську діяльність» або мати чинні сертифікати (дипломи) професійних організацій, що підтверджують високий рівень знань із міжнародних стандартів фінансової звітності.</w:t>
            </w:r>
          </w:p>
          <w:p w:rsidR="008C5A01" w:rsidRPr="00FE08CA" w:rsidRDefault="008C5A01" w:rsidP="00262C65">
            <w:pPr>
              <w:ind w:right="142"/>
              <w:jc w:val="both"/>
              <w:rPr>
                <w:rFonts w:cs="Times New Roman"/>
                <w:lang w:val="uk-UA"/>
              </w:rPr>
            </w:pPr>
            <w:r w:rsidRPr="00FE08CA">
              <w:rPr>
                <w:rFonts w:cs="Times New Roman"/>
                <w:lang w:val="uk-UA"/>
              </w:rPr>
              <w:t>2.2. Документ за формою Додатка 5 до цієї тендерної документації про наявність у суб’єкта аудиторської діяльності досвіду надання послуг з обов’язкового річного аудиту фінансової звітності підприємств, що становлять суспільний інтерес, зокрема, здійснення не менше трьох завдань з обов’язкового річного аудиту фінансової звітності для таких підприємств протягом останніх трьох років.</w:t>
            </w:r>
          </w:p>
          <w:p w:rsidR="008C5A01" w:rsidRPr="00FE08CA" w:rsidRDefault="008C5A01" w:rsidP="00262C65">
            <w:pPr>
              <w:ind w:right="142"/>
              <w:jc w:val="both"/>
              <w:rPr>
                <w:rFonts w:cs="Times New Roman"/>
                <w:lang w:val="uk-UA"/>
              </w:rPr>
            </w:pPr>
            <w:r w:rsidRPr="00FE08CA">
              <w:rPr>
                <w:rFonts w:cs="Times New Roman"/>
                <w:lang w:val="uk-UA"/>
              </w:rPr>
              <w:t>Або</w:t>
            </w:r>
          </w:p>
          <w:p w:rsidR="008C5A01" w:rsidRPr="00FE08CA" w:rsidRDefault="008C5A01" w:rsidP="00262C65">
            <w:pPr>
              <w:ind w:right="142"/>
              <w:jc w:val="both"/>
              <w:rPr>
                <w:rFonts w:cs="Times New Roman"/>
                <w:lang w:val="uk-UA"/>
              </w:rPr>
            </w:pPr>
            <w:r w:rsidRPr="00FE08CA">
              <w:rPr>
                <w:rFonts w:cs="Times New Roman"/>
                <w:lang w:val="uk-UA"/>
              </w:rPr>
              <w:t>Довідка довільної форми про наявність у суб’єкта аудиторської діяльності досвіду надання послуг з обов’язкового річного аудиту фінансової звітності підприємств, що становлять суспільний інтерес, зокрема, здійснення не менше трьох завдань з обов’язкового річного аудиту фінансової звітності для таких підприємств протягом останніх трьох років.</w:t>
            </w:r>
          </w:p>
          <w:p w:rsidR="008C5A01" w:rsidRPr="00FE08CA" w:rsidRDefault="008C5A01" w:rsidP="00262C65">
            <w:pPr>
              <w:ind w:right="142"/>
              <w:jc w:val="both"/>
              <w:rPr>
                <w:rFonts w:cs="Times New Roman"/>
                <w:lang w:val="uk-UA"/>
              </w:rPr>
            </w:pPr>
            <w:r w:rsidRPr="00FE08CA">
              <w:rPr>
                <w:rFonts w:cs="Times New Roman"/>
                <w:lang w:val="uk-UA"/>
              </w:rPr>
              <w:t>Документи надаються за підписом керівника або уповноваженої особи учасника та скріплені печаткою (у разі її використання) у сканованому вигляді в форматі PDF.</w:t>
            </w:r>
          </w:p>
        </w:tc>
      </w:tr>
      <w:tr w:rsidR="008C5A01" w:rsidRPr="00B4475B" w:rsidTr="00262C65">
        <w:tblPrEx>
          <w:tblCellMar>
            <w:left w:w="0" w:type="dxa"/>
            <w:right w:w="0" w:type="dxa"/>
          </w:tblCellMar>
        </w:tblPrEx>
        <w:trPr>
          <w:trHeight w:val="275"/>
        </w:trPr>
        <w:tc>
          <w:tcPr>
            <w:tcW w:w="3686" w:type="dxa"/>
            <w:tcBorders>
              <w:top w:val="single" w:sz="4" w:space="0" w:color="000000"/>
              <w:left w:val="single" w:sz="4" w:space="0" w:color="000000"/>
              <w:bottom w:val="single" w:sz="4" w:space="0" w:color="000000"/>
            </w:tcBorders>
            <w:shd w:val="clear" w:color="auto" w:fill="auto"/>
          </w:tcPr>
          <w:p w:rsidR="008C5A01" w:rsidRPr="00FE08CA" w:rsidRDefault="008C5A01" w:rsidP="00262C65">
            <w:pPr>
              <w:ind w:left="142"/>
              <w:rPr>
                <w:rFonts w:cs="Times New Roman"/>
                <w:lang w:val="uk-UA"/>
              </w:rPr>
            </w:pPr>
            <w:r w:rsidRPr="00FE08CA">
              <w:rPr>
                <w:rFonts w:cs="Times New Roman"/>
                <w:lang w:val="uk-UA"/>
              </w:rPr>
              <w:t>3. Документи, що підтверджують відсутність підстав для відмови в участі у процедурі закупівлі.</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8C5A01" w:rsidRPr="00FE08CA" w:rsidRDefault="008C5A01" w:rsidP="00262C65">
            <w:pPr>
              <w:ind w:right="142"/>
              <w:jc w:val="both"/>
              <w:rPr>
                <w:rFonts w:cs="Times New Roman"/>
                <w:lang w:val="uk-UA"/>
              </w:rPr>
            </w:pPr>
            <w:r w:rsidRPr="00FE08CA">
              <w:rPr>
                <w:rFonts w:cs="Times New Roman"/>
                <w:lang w:val="uk-UA"/>
              </w:rPr>
              <w:t>Документ за формою Додатка 6 до цієї тендерної документації надається за підписом керівника або уповноваженої особи учасника та скріплений печаткою (у разі її використання) у сканованому вигляді в форматі PDF.</w:t>
            </w:r>
          </w:p>
        </w:tc>
      </w:tr>
      <w:tr w:rsidR="008C5A01" w:rsidRPr="00B4475B" w:rsidTr="00262C65">
        <w:tblPrEx>
          <w:tblCellMar>
            <w:left w:w="0" w:type="dxa"/>
            <w:right w:w="0" w:type="dxa"/>
          </w:tblCellMar>
        </w:tblPrEx>
        <w:trPr>
          <w:trHeight w:val="20"/>
        </w:trPr>
        <w:tc>
          <w:tcPr>
            <w:tcW w:w="3686" w:type="dxa"/>
            <w:tcBorders>
              <w:top w:val="single" w:sz="4" w:space="0" w:color="000000"/>
              <w:left w:val="single" w:sz="4" w:space="0" w:color="000000"/>
              <w:bottom w:val="single" w:sz="4" w:space="0" w:color="000000"/>
            </w:tcBorders>
            <w:shd w:val="clear" w:color="auto" w:fill="auto"/>
          </w:tcPr>
          <w:p w:rsidR="008C5A01" w:rsidRPr="00FE08CA" w:rsidRDefault="008C5A01" w:rsidP="00262C65">
            <w:pPr>
              <w:ind w:left="142"/>
              <w:rPr>
                <w:rFonts w:cs="Times New Roman"/>
                <w:lang w:val="uk-UA"/>
              </w:rPr>
            </w:pPr>
            <w:r w:rsidRPr="00FE08CA">
              <w:rPr>
                <w:rFonts w:cs="Times New Roman"/>
                <w:lang w:val="uk-UA"/>
              </w:rPr>
              <w:t xml:space="preserve">4. Документи, які підтверджують </w:t>
            </w:r>
            <w:r w:rsidRPr="00FE08CA">
              <w:rPr>
                <w:rFonts w:cs="Times New Roman"/>
                <w:lang w:val="uk-UA"/>
              </w:rPr>
              <w:lastRenderedPageBreak/>
              <w:t>відповідність тендерної пропозиції учасника технічним, якісним, кількісним та іншим вимогам до предмета закупівлі.</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8C5A01" w:rsidRPr="00FE08CA" w:rsidRDefault="008C5A01" w:rsidP="00262C65">
            <w:pPr>
              <w:ind w:right="142"/>
              <w:jc w:val="both"/>
              <w:rPr>
                <w:rFonts w:cs="Times New Roman"/>
                <w:lang w:val="uk-UA"/>
              </w:rPr>
            </w:pPr>
            <w:r w:rsidRPr="00FE08CA">
              <w:rPr>
                <w:rFonts w:cs="Times New Roman"/>
                <w:lang w:val="uk-UA"/>
              </w:rPr>
              <w:lastRenderedPageBreak/>
              <w:t xml:space="preserve">Документ за формою Додатка 2 «Інформація про </w:t>
            </w:r>
            <w:r w:rsidRPr="00FE08CA">
              <w:rPr>
                <w:rFonts w:cs="Times New Roman"/>
                <w:lang w:val="uk-UA"/>
              </w:rPr>
              <w:lastRenderedPageBreak/>
              <w:t>предмет закупівлі» до цієї тендерної документації надається за підписом керівника або уповноваженої особи учасника та скріплюється печаткою (у разі її використання), що містить інформацію про технічні, якісні, кількісні та інші характеристики, встановлені Замовником і визначені в Додатку 3 до цієї тендерної документації.</w:t>
            </w:r>
          </w:p>
          <w:p w:rsidR="008C5A01" w:rsidRPr="00FE08CA" w:rsidRDefault="008C5A01" w:rsidP="00262C65">
            <w:pPr>
              <w:ind w:right="142"/>
              <w:jc w:val="both"/>
              <w:rPr>
                <w:rFonts w:cs="Times New Roman"/>
                <w:lang w:val="uk-UA"/>
              </w:rPr>
            </w:pPr>
            <w:r w:rsidRPr="00FE08CA">
              <w:rPr>
                <w:rFonts w:cs="Times New Roman"/>
                <w:lang w:val="uk-UA"/>
              </w:rPr>
              <w:t>Учасник за його бажанням може надати будь-який додатковий документ про досвід Учасника та його технічні можливості щодо предмету закупівлі. Неподання таких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tc>
      </w:tr>
      <w:tr w:rsidR="008C5A01" w:rsidRPr="00B4475B" w:rsidTr="00262C65">
        <w:tblPrEx>
          <w:tblCellMar>
            <w:left w:w="0" w:type="dxa"/>
            <w:right w:w="0" w:type="dxa"/>
          </w:tblCellMar>
        </w:tblPrEx>
        <w:trPr>
          <w:trHeight w:val="2495"/>
        </w:trPr>
        <w:tc>
          <w:tcPr>
            <w:tcW w:w="3686" w:type="dxa"/>
            <w:tcBorders>
              <w:top w:val="single" w:sz="4" w:space="0" w:color="000000"/>
              <w:left w:val="single" w:sz="4" w:space="0" w:color="000000"/>
              <w:bottom w:val="single" w:sz="4" w:space="0" w:color="auto"/>
            </w:tcBorders>
            <w:shd w:val="clear" w:color="auto" w:fill="auto"/>
          </w:tcPr>
          <w:p w:rsidR="008C5A01" w:rsidRPr="00FE08CA" w:rsidRDefault="008C5A01" w:rsidP="00262C65">
            <w:pPr>
              <w:ind w:left="142"/>
              <w:rPr>
                <w:rFonts w:cs="Times New Roman"/>
                <w:lang w:val="uk-UA"/>
              </w:rPr>
            </w:pPr>
            <w:r w:rsidRPr="00FE08CA">
              <w:rPr>
                <w:rFonts w:cs="Times New Roman"/>
                <w:lang w:val="uk-UA"/>
              </w:rPr>
              <w:lastRenderedPageBreak/>
              <w:t>5. Документи на підтвердження повноваження посадової особи або представника учасника процедури закупівлі на підписання документів, що входять до складу тендерної пропозиції та договору про закупівлю.</w:t>
            </w:r>
          </w:p>
        </w:tc>
        <w:tc>
          <w:tcPr>
            <w:tcW w:w="5954" w:type="dxa"/>
            <w:tcBorders>
              <w:top w:val="single" w:sz="4" w:space="0" w:color="000000"/>
              <w:left w:val="single" w:sz="4" w:space="0" w:color="000000"/>
              <w:bottom w:val="single" w:sz="4" w:space="0" w:color="auto"/>
              <w:right w:val="single" w:sz="4" w:space="0" w:color="000000"/>
            </w:tcBorders>
            <w:shd w:val="clear" w:color="auto" w:fill="auto"/>
          </w:tcPr>
          <w:p w:rsidR="008C5A01" w:rsidRPr="00FE08CA" w:rsidRDefault="008C5A01" w:rsidP="00262C65">
            <w:pPr>
              <w:ind w:right="142"/>
              <w:jc w:val="both"/>
              <w:rPr>
                <w:rFonts w:cs="Times New Roman"/>
                <w:lang w:val="uk-UA"/>
              </w:rPr>
            </w:pPr>
            <w:r w:rsidRPr="00FE08CA">
              <w:rPr>
                <w:rFonts w:cs="Times New Roman"/>
                <w:lang w:val="uk-UA"/>
              </w:rPr>
              <w:t>Протокол та/або виписка та/або витяг із протоколу зборів (засідань тощо) засновників та/або довіреність (доручення) та/або наказ тощо.</w:t>
            </w:r>
          </w:p>
          <w:p w:rsidR="008C5A01" w:rsidRPr="00FE08CA" w:rsidRDefault="008C5A01" w:rsidP="00262C65">
            <w:pPr>
              <w:ind w:left="142" w:right="142"/>
              <w:jc w:val="both"/>
              <w:rPr>
                <w:rFonts w:cs="Times New Roman"/>
                <w:lang w:val="uk-UA"/>
              </w:rPr>
            </w:pPr>
          </w:p>
        </w:tc>
      </w:tr>
      <w:tr w:rsidR="008C5A01" w:rsidRPr="00B4475B" w:rsidTr="00262C65">
        <w:tblPrEx>
          <w:tblCellMar>
            <w:left w:w="0" w:type="dxa"/>
            <w:right w:w="0" w:type="dxa"/>
          </w:tblCellMar>
        </w:tblPrEx>
        <w:trPr>
          <w:trHeight w:val="858"/>
        </w:trPr>
        <w:tc>
          <w:tcPr>
            <w:tcW w:w="3686" w:type="dxa"/>
            <w:tcBorders>
              <w:top w:val="single" w:sz="4" w:space="0" w:color="000000"/>
              <w:left w:val="single" w:sz="4" w:space="0" w:color="000000"/>
              <w:bottom w:val="single" w:sz="4" w:space="0" w:color="auto"/>
            </w:tcBorders>
            <w:shd w:val="clear" w:color="auto" w:fill="auto"/>
          </w:tcPr>
          <w:p w:rsidR="008C5A01" w:rsidRPr="00FE08CA" w:rsidRDefault="008C5A01" w:rsidP="00262C65">
            <w:pPr>
              <w:ind w:left="142"/>
              <w:rPr>
                <w:rFonts w:cs="Times New Roman"/>
                <w:lang w:val="uk-UA"/>
              </w:rPr>
            </w:pPr>
            <w:r w:rsidRPr="00FE08CA">
              <w:rPr>
                <w:rFonts w:cs="Times New Roman"/>
                <w:lang w:val="uk-UA"/>
              </w:rPr>
              <w:t>6. Документи, які підтверджують відповідність тендерної пропозиції учасника іншим вимогам до предмета закупівлі.</w:t>
            </w:r>
          </w:p>
        </w:tc>
        <w:tc>
          <w:tcPr>
            <w:tcW w:w="5954" w:type="dxa"/>
            <w:tcBorders>
              <w:top w:val="single" w:sz="4" w:space="0" w:color="000000"/>
              <w:left w:val="single" w:sz="4" w:space="0" w:color="000000"/>
              <w:bottom w:val="single" w:sz="4" w:space="0" w:color="auto"/>
              <w:right w:val="single" w:sz="4" w:space="0" w:color="000000"/>
            </w:tcBorders>
            <w:shd w:val="clear" w:color="auto" w:fill="auto"/>
          </w:tcPr>
          <w:p w:rsidR="008C5A01" w:rsidRPr="00FE08CA" w:rsidRDefault="008C5A01" w:rsidP="00262C65">
            <w:pPr>
              <w:ind w:right="142"/>
              <w:jc w:val="both"/>
              <w:rPr>
                <w:rFonts w:cs="Times New Roman"/>
                <w:lang w:val="uk-UA"/>
              </w:rPr>
            </w:pPr>
            <w:r w:rsidRPr="00FE08CA">
              <w:rPr>
                <w:rFonts w:cs="Times New Roman"/>
                <w:lang w:val="uk-UA"/>
              </w:rPr>
              <w:t>6.1. Довідка довільної форми про те що, суб’єкт аудиторської діяльності включений до Реєстру аудиторів та суб’єктів аудиторської діяльності у розділі «Суб’єкти аудиторської діяльності, які мають право проводити обов’язковий аудит фінансової звітності підприємств, що становлять суспільний інтерес», що розміщений на сайті Органу суспільного нагляду за аудиторською діяльністю.</w:t>
            </w:r>
          </w:p>
          <w:p w:rsidR="008C5A01" w:rsidRPr="00FE08CA" w:rsidRDefault="008C5A01" w:rsidP="00262C65">
            <w:pPr>
              <w:ind w:right="142"/>
              <w:jc w:val="both"/>
              <w:rPr>
                <w:rFonts w:cs="Times New Roman"/>
                <w:lang w:val="uk-UA"/>
              </w:rPr>
            </w:pPr>
            <w:r w:rsidRPr="00FE08CA">
              <w:rPr>
                <w:rFonts w:cs="Times New Roman"/>
                <w:lang w:val="uk-UA"/>
              </w:rPr>
              <w:t>6.2. Довідка довільної форми про те, що 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rsidR="008C5A01" w:rsidRPr="00FE08CA" w:rsidRDefault="008C5A01" w:rsidP="00262C65">
            <w:pPr>
              <w:ind w:right="142"/>
              <w:jc w:val="both"/>
              <w:rPr>
                <w:rFonts w:cs="Times New Roman"/>
                <w:lang w:val="uk-UA"/>
              </w:rPr>
            </w:pPr>
            <w:r w:rsidRPr="00FE08CA">
              <w:rPr>
                <w:rFonts w:cs="Times New Roman"/>
                <w:lang w:val="uk-UA"/>
              </w:rPr>
              <w:t>6.3. Довідка довільної форми про те, що суб’єкт аудиторської діяльності не має обмежень, пов'язаних із тривалістю надання послуг АТ «СУМИХІМПРОМ», як підприємству, що становить суспільний інтерес (виконання завдання з обов’язкового аудиту фінансової звітності не може перевищувати 10 років).</w:t>
            </w:r>
          </w:p>
          <w:p w:rsidR="008C5A01" w:rsidRPr="00FE08CA" w:rsidRDefault="008C5A01" w:rsidP="00262C65">
            <w:pPr>
              <w:ind w:right="142"/>
              <w:jc w:val="both"/>
              <w:rPr>
                <w:rFonts w:cs="Times New Roman"/>
                <w:lang w:val="uk-UA"/>
              </w:rPr>
            </w:pPr>
            <w:r w:rsidRPr="00FE08CA">
              <w:rPr>
                <w:rFonts w:cs="Times New Roman"/>
                <w:lang w:val="uk-UA"/>
              </w:rPr>
              <w:t>6.4. Довідка довільної форми про те, що суб’єкт аудиторської діяльності забезпечує виконання вимог до внутрішньої організації при проведенні обов’язкового аудиту фінансової звітності, у тому числі підприємств, що становлять суспільний інтерес.</w:t>
            </w:r>
          </w:p>
          <w:p w:rsidR="008C5A01" w:rsidRPr="00FE08CA" w:rsidRDefault="008C5A01" w:rsidP="00262C65">
            <w:pPr>
              <w:ind w:right="142"/>
              <w:jc w:val="both"/>
              <w:rPr>
                <w:rFonts w:cs="Times New Roman"/>
                <w:lang w:val="uk-UA"/>
              </w:rPr>
            </w:pPr>
            <w:r w:rsidRPr="00FE08CA">
              <w:rPr>
                <w:rFonts w:cs="Times New Roman"/>
                <w:lang w:val="uk-UA"/>
              </w:rPr>
              <w:t xml:space="preserve">6.5. Довідка довільної форми про те, що суб’єкт аудиторської діяльності не надавав та одночасно не надає АТ «СУМИХІМПРОМ» </w:t>
            </w:r>
            <w:proofErr w:type="spellStart"/>
            <w:r w:rsidRPr="00FE08CA">
              <w:rPr>
                <w:rFonts w:cs="Times New Roman"/>
                <w:lang w:val="uk-UA"/>
              </w:rPr>
              <w:t>неаудиторські</w:t>
            </w:r>
            <w:proofErr w:type="spellEnd"/>
            <w:r w:rsidRPr="00FE08CA">
              <w:rPr>
                <w:rFonts w:cs="Times New Roman"/>
                <w:lang w:val="uk-UA"/>
              </w:rPr>
              <w:t xml:space="preserve"> послуги </w:t>
            </w:r>
            <w:r w:rsidRPr="00FE08CA">
              <w:rPr>
                <w:rFonts w:cs="Times New Roman"/>
                <w:lang w:val="uk-UA"/>
              </w:rPr>
              <w:lastRenderedPageBreak/>
              <w:t>щодо:</w:t>
            </w:r>
          </w:p>
          <w:p w:rsidR="008C5A01" w:rsidRPr="00FE08CA" w:rsidRDefault="008C5A01" w:rsidP="00262C65">
            <w:pPr>
              <w:ind w:right="142"/>
              <w:jc w:val="both"/>
              <w:rPr>
                <w:rFonts w:cs="Times New Roman"/>
                <w:lang w:val="uk-UA"/>
              </w:rPr>
            </w:pPr>
            <w:r w:rsidRPr="00FE08CA">
              <w:rPr>
                <w:rFonts w:cs="Times New Roman"/>
                <w:lang w:val="uk-UA"/>
              </w:rPr>
              <w:t>- складання податкової звітності, розрахунку обов’язкових зборів і платежів, представництва юридичних осіб у спорах із зазначених питань;</w:t>
            </w:r>
          </w:p>
          <w:p w:rsidR="008C5A01" w:rsidRPr="00FE08CA" w:rsidRDefault="008C5A01" w:rsidP="00262C65">
            <w:pPr>
              <w:ind w:right="142"/>
              <w:jc w:val="both"/>
              <w:rPr>
                <w:rFonts w:cs="Times New Roman"/>
                <w:lang w:val="uk-UA"/>
              </w:rPr>
            </w:pPr>
            <w:r w:rsidRPr="00FE08CA">
              <w:rPr>
                <w:rFonts w:cs="Times New Roman"/>
                <w:lang w:val="uk-UA"/>
              </w:rPr>
              <w:t>- надання консультаційних послуг з питань оподаткування, а також у разі, коли допомога суб’єкта аудиторської діяльності не вимагається законодавством, послуг з визначення державних дотацій та податкових пільг;</w:t>
            </w:r>
          </w:p>
          <w:p w:rsidR="008C5A01" w:rsidRPr="00FE08CA" w:rsidRDefault="008C5A01" w:rsidP="00262C65">
            <w:pPr>
              <w:ind w:right="142"/>
              <w:jc w:val="both"/>
              <w:rPr>
                <w:rFonts w:cs="Times New Roman"/>
                <w:lang w:val="uk-UA"/>
              </w:rPr>
            </w:pPr>
            <w:r w:rsidRPr="00FE08CA">
              <w:rPr>
                <w:rFonts w:cs="Times New Roman"/>
                <w:lang w:val="uk-UA"/>
              </w:rPr>
              <w:t>- послуги, що передбачають участь у процесі прийняття управлінських рішень або виконання будь-яких функцій з управління підприємством, що становить суспільний інтерес, якому надаються послуги з обов’язкового аудиту;</w:t>
            </w:r>
          </w:p>
          <w:p w:rsidR="008C5A01" w:rsidRPr="00FE08CA" w:rsidRDefault="008C5A01" w:rsidP="00262C65">
            <w:pPr>
              <w:ind w:right="142"/>
              <w:jc w:val="both"/>
              <w:rPr>
                <w:rFonts w:cs="Times New Roman"/>
                <w:lang w:val="uk-UA"/>
              </w:rPr>
            </w:pPr>
            <w:r w:rsidRPr="00FE08CA">
              <w:rPr>
                <w:rFonts w:cs="Times New Roman"/>
                <w:lang w:val="uk-UA"/>
              </w:rPr>
              <w:t>- ведення бухгалтерського обліку і складання фінансової звітності;</w:t>
            </w:r>
          </w:p>
          <w:p w:rsidR="008C5A01" w:rsidRPr="00FE08CA" w:rsidRDefault="008C5A01" w:rsidP="00262C65">
            <w:pPr>
              <w:ind w:right="142"/>
              <w:jc w:val="both"/>
              <w:rPr>
                <w:rFonts w:cs="Times New Roman"/>
                <w:lang w:val="uk-UA"/>
              </w:rPr>
            </w:pPr>
            <w:r w:rsidRPr="00FE08CA">
              <w:rPr>
                <w:rFonts w:cs="Times New Roman"/>
                <w:lang w:val="uk-UA"/>
              </w:rPr>
              <w:t>- розробки та впровадження процедур внутрішнього контролю з управління ризиками, що пов’язані з формуванням фінансової інформації, а також розробка та впровадження інформаційних систем, пов’язаних з фінансовою інформацією;</w:t>
            </w:r>
          </w:p>
          <w:p w:rsidR="008C5A01" w:rsidRPr="00FE08CA" w:rsidRDefault="008C5A01" w:rsidP="00262C65">
            <w:pPr>
              <w:ind w:right="142"/>
              <w:jc w:val="both"/>
              <w:rPr>
                <w:rFonts w:cs="Times New Roman"/>
                <w:lang w:val="uk-UA"/>
              </w:rPr>
            </w:pPr>
            <w:r w:rsidRPr="00FE08CA">
              <w:rPr>
                <w:rFonts w:cs="Times New Roman"/>
                <w:lang w:val="uk-UA"/>
              </w:rPr>
              <w:t>- 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w:t>
            </w:r>
          </w:p>
          <w:p w:rsidR="008C5A01" w:rsidRPr="00FE08CA" w:rsidRDefault="008C5A01" w:rsidP="00262C65">
            <w:pPr>
              <w:ind w:right="142"/>
              <w:jc w:val="both"/>
              <w:rPr>
                <w:rFonts w:cs="Times New Roman"/>
                <w:lang w:val="uk-UA"/>
              </w:rPr>
            </w:pPr>
            <w:r w:rsidRPr="00FE08CA">
              <w:rPr>
                <w:rFonts w:cs="Times New Roman"/>
                <w:lang w:val="uk-UA"/>
              </w:rPr>
              <w:t>- кадрового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w:t>
            </w:r>
          </w:p>
          <w:p w:rsidR="008C5A01" w:rsidRPr="00FE08CA" w:rsidRDefault="008C5A01" w:rsidP="00262C65">
            <w:pPr>
              <w:ind w:right="142"/>
              <w:jc w:val="both"/>
              <w:rPr>
                <w:rFonts w:cs="Times New Roman"/>
                <w:lang w:val="uk-UA"/>
              </w:rPr>
            </w:pPr>
            <w:r w:rsidRPr="00FE08CA">
              <w:rPr>
                <w:rFonts w:cs="Times New Roman"/>
                <w:lang w:val="uk-UA"/>
              </w:rPr>
              <w:t xml:space="preserve">- послуг з оцінки, у тому числі виконані у зв’язку з наданням </w:t>
            </w:r>
            <w:proofErr w:type="spellStart"/>
            <w:r w:rsidRPr="00FE08CA">
              <w:rPr>
                <w:rFonts w:cs="Times New Roman"/>
                <w:lang w:val="uk-UA"/>
              </w:rPr>
              <w:t>актуарних</w:t>
            </w:r>
            <w:proofErr w:type="spellEnd"/>
            <w:r w:rsidRPr="00FE08CA">
              <w:rPr>
                <w:rFonts w:cs="Times New Roman"/>
                <w:lang w:val="uk-UA"/>
              </w:rPr>
              <w:t xml:space="preserve"> послуг чи послуг супроводу судового процесу;</w:t>
            </w:r>
          </w:p>
          <w:p w:rsidR="008C5A01" w:rsidRPr="00FE08CA" w:rsidRDefault="008C5A01" w:rsidP="00262C65">
            <w:pPr>
              <w:ind w:right="142"/>
              <w:jc w:val="both"/>
              <w:rPr>
                <w:rFonts w:cs="Times New Roman"/>
                <w:lang w:val="uk-UA"/>
              </w:rPr>
            </w:pPr>
            <w:r w:rsidRPr="00FE08CA">
              <w:rPr>
                <w:rFonts w:cs="Times New Roman"/>
                <w:lang w:val="uk-UA"/>
              </w:rPr>
              <w:t>- послуг, пов’язаних із залученням фінансування, розподілом прибутку, розробкою інвестиційної стратегії, окрім послуг з 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емісією цінних паперів юридичних осіб;</w:t>
            </w:r>
          </w:p>
          <w:p w:rsidR="008C5A01" w:rsidRPr="00FE08CA" w:rsidRDefault="008C5A01" w:rsidP="00262C65">
            <w:pPr>
              <w:ind w:right="142"/>
              <w:jc w:val="both"/>
              <w:rPr>
                <w:rFonts w:cs="Times New Roman"/>
                <w:lang w:val="uk-UA"/>
              </w:rPr>
            </w:pPr>
            <w:r w:rsidRPr="00FE08CA">
              <w:rPr>
                <w:rFonts w:cs="Times New Roman"/>
                <w:lang w:val="uk-UA"/>
              </w:rPr>
              <w:t>- послуг, пов’язаних з функцією внутрішнього аудиту підприємства, що становить суспільний інтерес, якому надаються послуги з обов’язкового аудиту фінансової звітності;</w:t>
            </w:r>
          </w:p>
          <w:p w:rsidR="008C5A01" w:rsidRPr="00FE08CA" w:rsidRDefault="008C5A01" w:rsidP="00262C65">
            <w:pPr>
              <w:ind w:right="142"/>
              <w:jc w:val="both"/>
              <w:rPr>
                <w:rFonts w:cs="Times New Roman"/>
                <w:lang w:val="uk-UA"/>
              </w:rPr>
            </w:pPr>
            <w:r w:rsidRPr="00FE08CA">
              <w:rPr>
                <w:rFonts w:cs="Times New Roman"/>
                <w:lang w:val="uk-UA"/>
              </w:rPr>
              <w:t>- послуг, пов’язаних з просуванням акцій юридичної особи, якій надаються послуги з обов’язково аудиту, торгівля чи підписка на акції такої юридичної особи.</w:t>
            </w:r>
          </w:p>
          <w:p w:rsidR="008C5A01" w:rsidRPr="00FE08CA" w:rsidRDefault="008C5A01" w:rsidP="00262C65">
            <w:pPr>
              <w:ind w:right="142"/>
              <w:jc w:val="both"/>
              <w:rPr>
                <w:rFonts w:cs="Times New Roman"/>
                <w:lang w:val="uk-UA"/>
              </w:rPr>
            </w:pPr>
            <w:r w:rsidRPr="00FE08CA">
              <w:rPr>
                <w:rFonts w:cs="Times New Roman"/>
                <w:lang w:val="uk-UA"/>
              </w:rPr>
              <w:t xml:space="preserve">6.6. Довідка довільної форми про те, що суб’єкт аудиторської діяльності має чинний договір страхування цивільно-правової відповідальності перед третіми особами, укладений відповідно до вимог законодавства України, мінімальний розмір страхової </w:t>
            </w:r>
            <w:r w:rsidRPr="00FE08CA">
              <w:rPr>
                <w:rFonts w:cs="Times New Roman"/>
                <w:lang w:val="uk-UA"/>
              </w:rPr>
              <w:lastRenderedPageBreak/>
              <w:t>суми за яким становить не менше 10 відсотків суми отриманої винагороди за договорами про надання аудиторських послуг з обов’язкового аудиту суб’єктів суспільного інтересу (без урахування податку на додану вартість) протягом року, що минув, але не менше 10 мільйонів гривень. При цьому, договір страхування повинен діяти протягом усього періоду надання послуг з обов’язкового аудиту фінансової звітності.</w:t>
            </w:r>
          </w:p>
          <w:p w:rsidR="008C5A01" w:rsidRPr="00FE08CA" w:rsidRDefault="008C5A01" w:rsidP="00262C65">
            <w:pPr>
              <w:ind w:right="142"/>
              <w:jc w:val="both"/>
              <w:rPr>
                <w:rFonts w:cs="Times New Roman"/>
                <w:lang w:val="uk-UA"/>
              </w:rPr>
            </w:pPr>
            <w:r w:rsidRPr="00FE08CA">
              <w:rPr>
                <w:rFonts w:cs="Times New Roman"/>
                <w:lang w:val="uk-UA"/>
              </w:rPr>
              <w:t>6.7. Документ (Наказ Органу суспільного нагляду за аудиторською діяльністю) про проходження суб’єктом аудиторської діяльності перевірки з контролю якості аудиторських послуг.</w:t>
            </w:r>
          </w:p>
          <w:p w:rsidR="008C5A01" w:rsidRPr="00FE08CA" w:rsidRDefault="008C5A01" w:rsidP="00262C65">
            <w:pPr>
              <w:ind w:right="142"/>
              <w:jc w:val="both"/>
              <w:rPr>
                <w:rFonts w:cs="Times New Roman"/>
                <w:lang w:val="uk-UA"/>
              </w:rPr>
            </w:pPr>
            <w:r w:rsidRPr="00FE08CA">
              <w:rPr>
                <w:rFonts w:cs="Times New Roman"/>
                <w:lang w:val="uk-UA"/>
              </w:rPr>
              <w:t>6.8. Довідка довільної форми про те, що суб’єкт аудиторської діяльності має бездоганну репутацію, зокрема: відсутність випадків (або кількість випадків) застосовування стягнення до суб’єкта аудиторської діяльності у вигляді попередження або зупинення права на надання послуг з обов’язкового аудиту фінансової звітності підприємств, що становлять суспільний інтерес, протягом 24 календарних місяців.</w:t>
            </w:r>
          </w:p>
          <w:p w:rsidR="008C5A01" w:rsidRPr="00FE08CA" w:rsidRDefault="008C5A01" w:rsidP="00262C65">
            <w:pPr>
              <w:ind w:right="142"/>
              <w:jc w:val="both"/>
              <w:rPr>
                <w:rFonts w:cs="Times New Roman"/>
                <w:lang w:val="uk-UA"/>
              </w:rPr>
            </w:pPr>
            <w:r w:rsidRPr="00FE08CA">
              <w:rPr>
                <w:rFonts w:cs="Times New Roman"/>
                <w:lang w:val="uk-UA"/>
              </w:rPr>
              <w:t>6.9. Довідка довільної форми про те, що суб’єкт аудиторської діяльності підтверджує свою незалежність, своїх ключових партнерів, власників (засновників, учасників), посадових осіб і працівників та інших осіб, залучених до надання таких послуг, а також близьких родичів та членів сім'ї зазначених осіб для АТ «СУМИХІМПРОМ».</w:t>
            </w:r>
          </w:p>
          <w:p w:rsidR="008C5A01" w:rsidRPr="00FE08CA" w:rsidRDefault="008C5A01" w:rsidP="00262C65">
            <w:pPr>
              <w:ind w:right="142"/>
              <w:jc w:val="both"/>
              <w:rPr>
                <w:rFonts w:cs="Times New Roman"/>
                <w:lang w:val="uk-UA"/>
              </w:rPr>
            </w:pPr>
            <w:r w:rsidRPr="00FE08CA">
              <w:rPr>
                <w:rFonts w:cs="Times New Roman"/>
                <w:lang w:val="uk-UA"/>
              </w:rPr>
              <w:t>6.10. Довідка довільної форми про те, що у суб’єкта аудиторської діяльності відсутні порушення вимог щодо забезпечення незалежності суб’єкта аудиторської діяльності, в тому числі передбачені у статті 10 Закону України «Про аудит фінансової звітності та аудиторську діяльність».</w:t>
            </w:r>
          </w:p>
          <w:p w:rsidR="008C5A01" w:rsidRPr="00FE08CA" w:rsidRDefault="008C5A01" w:rsidP="00262C65">
            <w:pPr>
              <w:ind w:right="142"/>
              <w:jc w:val="both"/>
              <w:rPr>
                <w:rFonts w:cs="Times New Roman"/>
                <w:lang w:val="uk-UA"/>
              </w:rPr>
            </w:pPr>
            <w:r w:rsidRPr="00FE08CA">
              <w:rPr>
                <w:rFonts w:cs="Times New Roman"/>
                <w:lang w:val="uk-UA"/>
              </w:rPr>
              <w:t>Документи надаються за підписом керівника або уповноваженої особи учасника та скріплені печаткою (у разі її використання) у сканованому вигляді в форматі PDF.</w:t>
            </w:r>
          </w:p>
        </w:tc>
      </w:tr>
    </w:tbl>
    <w:p w:rsidR="008C5A01" w:rsidRPr="00FE08CA" w:rsidRDefault="008C5A01" w:rsidP="008C5A01">
      <w:pPr>
        <w:jc w:val="both"/>
        <w:rPr>
          <w:rFonts w:cs="Times New Roman"/>
          <w:i/>
          <w:iCs/>
          <w:lang w:val="uk-UA"/>
        </w:rPr>
      </w:pPr>
    </w:p>
    <w:p w:rsidR="008C5A01" w:rsidRPr="00FE08CA" w:rsidRDefault="008C5A01" w:rsidP="008C5A01">
      <w:pPr>
        <w:jc w:val="both"/>
        <w:rPr>
          <w:rFonts w:cs="Times New Roman"/>
          <w:i/>
          <w:iCs/>
          <w:lang w:val="uk-UA"/>
        </w:rPr>
      </w:pPr>
    </w:p>
    <w:p w:rsidR="008C5A01" w:rsidRPr="00FE08CA" w:rsidRDefault="008C5A01" w:rsidP="008C5A01">
      <w:pPr>
        <w:jc w:val="both"/>
        <w:rPr>
          <w:rFonts w:cs="Times New Roman"/>
          <w:i/>
          <w:iCs/>
          <w:lang w:val="uk-UA"/>
        </w:rPr>
      </w:pPr>
    </w:p>
    <w:p w:rsidR="008C5A01" w:rsidRPr="00FE08CA" w:rsidRDefault="008C5A01" w:rsidP="008C5A01">
      <w:pPr>
        <w:jc w:val="both"/>
        <w:rPr>
          <w:rFonts w:cs="Times New Roman"/>
          <w:i/>
          <w:iCs/>
          <w:lang w:val="uk-UA"/>
        </w:rPr>
      </w:pPr>
    </w:p>
    <w:p w:rsidR="008C5A01" w:rsidRPr="00FE08CA" w:rsidRDefault="008C5A01" w:rsidP="008C5A01">
      <w:pPr>
        <w:jc w:val="both"/>
        <w:rPr>
          <w:rFonts w:cs="Times New Roman"/>
          <w:i/>
          <w:iCs/>
          <w:lang w:val="uk-UA"/>
        </w:rPr>
      </w:pPr>
    </w:p>
    <w:sectPr w:rsidR="008C5A01" w:rsidRPr="00FE08CA" w:rsidSect="009578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E02F5"/>
    <w:multiLevelType w:val="hybridMultilevel"/>
    <w:tmpl w:val="EE84DEFE"/>
    <w:lvl w:ilvl="0" w:tplc="93AA5D4E">
      <w:start w:val="1"/>
      <w:numFmt w:val="decimal"/>
      <w:lvlText w:val="%1."/>
      <w:lvlJc w:val="left"/>
      <w:pPr>
        <w:ind w:left="473" w:hanging="360"/>
      </w:pPr>
      <w:rPr>
        <w:rFonts w:eastAsia="Lucida Sans Unicode" w:cs="Tahoma" w:hint="default"/>
      </w:rPr>
    </w:lvl>
    <w:lvl w:ilvl="1" w:tplc="04220019" w:tentative="1">
      <w:start w:val="1"/>
      <w:numFmt w:val="lowerLetter"/>
      <w:lvlText w:val="%2."/>
      <w:lvlJc w:val="left"/>
      <w:pPr>
        <w:ind w:left="1193" w:hanging="360"/>
      </w:pPr>
    </w:lvl>
    <w:lvl w:ilvl="2" w:tplc="0422001B" w:tentative="1">
      <w:start w:val="1"/>
      <w:numFmt w:val="lowerRoman"/>
      <w:lvlText w:val="%3."/>
      <w:lvlJc w:val="right"/>
      <w:pPr>
        <w:ind w:left="1913" w:hanging="180"/>
      </w:pPr>
    </w:lvl>
    <w:lvl w:ilvl="3" w:tplc="0422000F" w:tentative="1">
      <w:start w:val="1"/>
      <w:numFmt w:val="decimal"/>
      <w:lvlText w:val="%4."/>
      <w:lvlJc w:val="left"/>
      <w:pPr>
        <w:ind w:left="2633" w:hanging="360"/>
      </w:pPr>
    </w:lvl>
    <w:lvl w:ilvl="4" w:tplc="04220019" w:tentative="1">
      <w:start w:val="1"/>
      <w:numFmt w:val="lowerLetter"/>
      <w:lvlText w:val="%5."/>
      <w:lvlJc w:val="left"/>
      <w:pPr>
        <w:ind w:left="3353" w:hanging="360"/>
      </w:pPr>
    </w:lvl>
    <w:lvl w:ilvl="5" w:tplc="0422001B" w:tentative="1">
      <w:start w:val="1"/>
      <w:numFmt w:val="lowerRoman"/>
      <w:lvlText w:val="%6."/>
      <w:lvlJc w:val="right"/>
      <w:pPr>
        <w:ind w:left="4073" w:hanging="180"/>
      </w:pPr>
    </w:lvl>
    <w:lvl w:ilvl="6" w:tplc="0422000F" w:tentative="1">
      <w:start w:val="1"/>
      <w:numFmt w:val="decimal"/>
      <w:lvlText w:val="%7."/>
      <w:lvlJc w:val="left"/>
      <w:pPr>
        <w:ind w:left="4793" w:hanging="360"/>
      </w:pPr>
    </w:lvl>
    <w:lvl w:ilvl="7" w:tplc="04220019" w:tentative="1">
      <w:start w:val="1"/>
      <w:numFmt w:val="lowerLetter"/>
      <w:lvlText w:val="%8."/>
      <w:lvlJc w:val="left"/>
      <w:pPr>
        <w:ind w:left="5513" w:hanging="360"/>
      </w:pPr>
    </w:lvl>
    <w:lvl w:ilvl="8" w:tplc="0422001B" w:tentative="1">
      <w:start w:val="1"/>
      <w:numFmt w:val="lowerRoman"/>
      <w:lvlText w:val="%9."/>
      <w:lvlJc w:val="right"/>
      <w:pPr>
        <w:ind w:left="623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C5A01"/>
    <w:rsid w:val="00745B56"/>
    <w:rsid w:val="008C5A01"/>
    <w:rsid w:val="009578E0"/>
    <w:rsid w:val="00C929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A01"/>
    <w:pPr>
      <w:widowControl w:val="0"/>
      <w:suppressAutoHyphens/>
      <w:spacing w:after="0" w:line="240" w:lineRule="auto"/>
    </w:pPr>
    <w:rPr>
      <w:rFonts w:ascii="Times New Roman" w:eastAsia="Lucida Sans Unicode" w:hAnsi="Times New Roman" w:cs="Tahoma"/>
      <w:color w:val="000000"/>
      <w:sz w:val="24"/>
      <w:szCs w:val="24"/>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C5A01"/>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258-19/pri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1412</Words>
  <Characters>8049</Characters>
  <Application>Microsoft Office Word</Application>
  <DocSecurity>0</DocSecurity>
  <Lines>67</Lines>
  <Paragraphs>18</Paragraphs>
  <ScaleCrop>false</ScaleCrop>
  <Company>ПАО "Сумыхмпром"</Company>
  <LinksUpToDate>false</LinksUpToDate>
  <CharactersWithSpaces>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t.n.brizhik</dc:creator>
  <cp:lastModifiedBy>t.n.brizhik</cp:lastModifiedBy>
  <cp:revision>1</cp:revision>
  <dcterms:created xsi:type="dcterms:W3CDTF">2025-10-14T07:59:00Z</dcterms:created>
  <dcterms:modified xsi:type="dcterms:W3CDTF">2025-10-14T08:04:00Z</dcterms:modified>
</cp:coreProperties>
</file>